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13 53 vom 28. April 2014</w:t>
      </w:r>
    </w:p>
    <w:p>
      <w:r>
        <w:t>VS Kantonsgericht, 2014-04-28, FR</w:t>
      </w:r>
    </w:p>
    <w:p>
      <w:r>
        <w:rPr>
          <w:b/>
        </w:rPr>
        <w:t xml:space="preserve">Quelle: </w:t>
      </w:r>
      <w:r>
        <w:t>https://mcp.opencaselaw.ch/entscheid/vs_gerichte_LP 13 53</w:t>
      </w:r>
    </w:p>
    <w:p>
      <w:r>
        <w:t>FR: VS_GERICHTE LP 13 53 du 28 avril 2014</w:t>
      </w:r>
    </w:p>
    <w:p>
      <w:r>
        <w:t>IT: VS_GERICHTE LP 13 53 del 28 aprile 2014</w:t>
      </w:r>
    </w:p>
    <w:p>
      <w:pPr>
        <w:pStyle w:val="Heading2"/>
      </w:pPr>
      <w:r>
        <w:t>Erwägungen</w:t>
      </w:r>
    </w:p>
    <w:p>
      <w:r>
        <w:rPr>
          <w:b/>
        </w:rPr>
        <w:t>E. 1</w:t>
      </w:r>
    </w:p>
    <w:p>
      <w:r>
        <w:t>a) En tant qu’autorité supérieure de surveillance, le Tribunal cantonal connaît des recours formés contre les décisions des juges de districts statuant comme autorités inférieures en matière de plainte (art. 19 al. 1 et 4, et 20 LALP). En cette matière, la cause peut être confiée à un juge unique (art. 19 al. 1 3ème phrase LALP). Aux termes de l’article 18 al. 1 LP, toute décision de l'autorité inférieure peut être déférée à l'autorité cantonale supérieure de surveillance dans les dix jours à compter de sa notification. Le recours doit être adressé par écrit au greffe du Tribunal cantonal (art. 26 al. 1 LALP). La décision entreprise a été expédiée le 8 octobre 2013 par l'autorité inférieure de surveillance et reçue le lendemain. Mis à la poste le 21 octobre 2013 et adressé à</w:t>
      </w:r>
    </w:p>
    <w:p>
      <w:r>
        <w:t>- 7 - l'autorité compétente, le recours a été formé en temps utile et est, sous cet angle, recevable.</w:t>
      </w:r>
    </w:p>
    <w:p>
      <w:r>
        <w:t>b) La loi ne fournit aucune indication sur la qualité pour recourir. Cette qualité - qui doit être examinée d'office - doit être reconnue à celui qui avait, devant l'autorité inférieure, qualité à la plainte et à toute personne ou autorité de poursuite, qui fait valoir un intérêt digne de protection, direct, actuel et réel à la suite de la décision de l'autorité inférieure. Pour que le recours soit recevable, les personnes concernées doivent remplir les mêmes conditions subjectives que celles mises à la recevabilité de la plainte. A cet égard, seul celui qui peut faire valoir son propre droit ou celui d'un tiers possède la capacité de recourir (Gilliéron, Commentaire de la loi fédérale sur la poursuite pour dettes et la faillite, éd. 1999, n. 26, 27 et 30 ad art. 18 LP).</w:t>
      </w:r>
    </w:p>
    <w:p>
      <w:r>
        <w:rPr>
          <w:b/>
        </w:rPr>
        <w:t>E. 2</w:t>
      </w:r>
    </w:p>
    <w:p>
      <w:r>
        <w:t>Le premier juge a déclaré la plainte formée par X_________ irrecevable. Il a considéré que le courrier du 6 septembre 2013 constitue un simple avis, dont le contenu est similaire à celui de l’avis au débiteur au sens de l’article 155 al. 2 LP, et non une mesure susceptible de plainte. Il a ajouté qu’en concluant à l’annulation de la saisie, le plaignant s’en prend à nouveau à la saisie opérée en date du 2 octobre 2001, saisie qui a été confirmée par décision de l’autorité de surveillance le 10 décembre 2001, en la cause LP 01 1212, si bien qu’elle ne peut être remise en cause. Au surplus, en soutenant que l’office des poursuites de B_________ n’est pas compétent pour procéder à la saisie et à la réalisation des créances qu’il détient à l’encontre de E_________, puisque son domicile est au O_________, le plaignant soulève un grief déjà écarté dans sa précédente plainte. Du reste, aux termes de l’article 53 LP, si le débiteur change de domicile après l’avis de saisie, après la commination de faillite ou après la notification du commandement de payer pour effets de change, la poursuite se continue au même domicile. Or, la perpétuation s’applique aux changements tant nationaux qu’internationaux. Enfin, selon le premier juge, le plaignant invoque à tort un abus de droit de la part de la partie poursuivante. En effet, celle-ci n’adopte pas des positions procédurales contradictoires en agissant contre E_________ de façon conjointe avec X_________ dans le cadre d’une procédure pendante à D_________, d’une part, et en poursuivant la même créance à titre personnel en Valais, d’autre part. En effet, si la créance</w:t>
      </w:r>
    </w:p>
    <w:p>
      <w:r>
        <w:t>- 8 - litigieuse est détenue conjointement par le plaignant et la partie poursuivante, celle-ci ne peut en disposer seule, raison pour laquelle elle doit agir soit de concert avec le co- titulaire, soit contre lui.</w:t>
      </w:r>
    </w:p>
    <w:p>
      <w:r>
        <w:rPr>
          <w:b/>
        </w:rPr>
        <w:t>E. 3</w:t>
      </w:r>
    </w:p>
    <w:p>
      <w:r>
        <w:t>Le recourant conteste que la lettre du 6 septembre 2013 ne soit qu’un avis de réquisition de vente selon l’article 155 al. 2 LP. Selon lui, le paiement requis "aurait assurément une influence certaine sur la position juridique de M. E_________ mais aussi de M. X_________ et des hoirs Y_________, respectivement modifierait non seulement la procédure d’exécution dans les poursuites Nos xxx et xxx, mais aussi la procédure en paiement dans la cause D__________ de l’action en paiement dirigée contre M. E_________ par le liquidateur M_________, agissant pour la société simple que les hoirs Y_________ affirment qu’ils (leur père) ont constituée avec M. X_________.". Il en déduit qu’il s’agit "d’une décision produisant des effets externes et ayant pour effet d’influencer la position juridique du débiteur et, plus généralement, du recourant et des hoirs Y_________". A son avis, la décision du 6 septembre 2013 s’inscrit en totale contradiction avec les demandes judiciaires engagées à D_________ par les hoirs Y_________, depuis novembre 2010, qui consistent à réclamer, par l’intermédiaire de l’avocat/liquidateur "qu’ils ont fait nommer à cet effet", le paiement des mêmes montants à la même personne, soit E_________, toutefois au nom et en faveur de la société simple "qu’ils affirment avoir été créée entre eux-mêmes (feu leur père G_________) et M. X_________". Selon le recourant, dans la mesure où les hoirs Y_________ affirment que la créance serait détenue en commun par eux-mêmes et par X_________, l’office des poursuites devait considérer la demande des hoirs Y_________ comme une saisie d’une part de communauté, et faire application des dispositions légales qui s’appliquent à cette situation, soit les articles 48 ss LP. X_________ soutient que l’office des poursuites de B_________ devait ainsi se déclarer incompétent, selon l’article 2 OPC, puisqu'il n’est pas domicilié à B_________.</w:t>
      </w:r>
    </w:p>
    <w:p>
      <w:r>
        <w:rPr>
          <w:b/>
        </w:rPr>
        <w:t>E. 4</w:t>
      </w:r>
    </w:p>
    <w:p>
      <w:r>
        <w:t>Dans sa détermination sur le recours, l’exécuteur testamentaire de la succession Y_________ soutient que la lettre du 6 septembre 2013 ne constitue qu’un avis, et non une décision, et qu’elle ne modifie pas la situation juridique de quiconque.</w:t>
      </w:r>
    </w:p>
    <w:p>
      <w:r>
        <w:t>- 9 - Il expose par ailleurs que X_________ et G_________ ont formé une société simple ayant pour but de recouvrer la créance de 4'000'000 fr. contre E_________. Il soutient que chacun des associés conserve la possibilité de faire valoir individuellement les droits de la société simple contre l’un de débiteurs de celle-ci. L’opération de saisie, active en Valais, concernerait "la créance, seule, de X_________ et non pas celle de l’hoirie Y_________". L’exécuteur poursuit que l’hoirie Y_________ demande la saisie de la créance de X_________, puis sa vente ; l’acheteur prendra la place de X_________ dans l’action du liquidateur M_________ contre E_________.</w:t>
      </w:r>
    </w:p>
    <w:p>
      <w:r>
        <w:rPr>
          <w:b/>
        </w:rPr>
        <w:t>E. 5</w:t>
      </w:r>
    </w:p>
    <w:p>
      <w:r>
        <w:t>a) Selon l’article 544 al. 1 CO, les choses, créances et droits réels appartiennent en commun aux associés dans les termes du contrat de société. Les droits réels sont soumis au régime de la propriété commune au sens des articles 652 ss CC ; les associés ne bénéficient pas de quote-part et, pour disposer de la chose, ils doivent prendre une décision commune. Il en va de même pour les créances. Les associés ne sont pas des créanciers solidaires ; ils doivent faire valoir ces créances collectivement (Chaix, Commentaire romand, 2008, n. 3 ad art. 544 CO ; Pestalozzi/Hettich, Commentaire bâlois, 2012, n. 3 ad art. 544 CO). Lorsqu'ils agissent en justice, les associés sont des consorts nécessaires (Chaix, loc. cit. ; Pestalozzi/Hettich, n. 4 ad art. 544 CO). La rège posée à l'article 544 al. 1 CO étant de droit dispositif, les associés peuvent y déroger. Ils peuvent opter pour le régime de la copropriété et prévoir des quotes-parts sur la chose (art. 646 al. 1 CC ; Chaix, n. 4 ad art. 544 CO ; Pestalozzi/Hettich, n. 5 ad art. 544 CO). Pour les créances, le contrat de société peut prévoir une solidarité active au sens de l’article 150 CO : chaque associé peut alors faire valoir individuellement tous les droits découlant de la créance, pour autant que le débiteur se déclare tenu pour le tout envers chacun des créanciers (Chaix, loc. cit.). La société simple ne dispose pas d’une fortune sociale. Les créanciers sociaux n’ont ainsi aucun droit sur les actifs de la société. Leurs droits sont réduits à la part de liquidation de chaque associé (art. 544 al. 2 CO) ; ils doivent ainsi d’abord obtenir la dissolution de la société, de manière à isoler la part revenant à l’associé en question (Chaix, n. 8 ad art. 544 CO ; Pestalozzi/Hettich, n. 7 ad art. 544 CO). Le contrat de la société peut toutefois en disposer autrement. Lorsqu’il prévoit le régime de la copropriété, les parts des associés peuvent être directement saisies par les créanciers, sans dissolution préalable de la société (Chaix, loc. cit. ; Pestalozzi/Hettich, n. 9 ad art.</w:t>
      </w:r>
    </w:p>
    <w:p>
      <w:r>
        <w:t>- 10 - 544 CO). Ces principes s’appliquent aux créanciers sociaux, mais également aux créanciers personnels de chaque associé (Chaix, loc. cit.). b) La société simple ne peut être poursuivie en tant qu’entité propre. Elle ne dispose pas de la "Betreibungsfähigkeit". Les créanciers doivent agir contre les associés, soit par la voie de la saisie, soit par la voie de la faillite, selon leur statut personnel (Chaix, n. 9 ad art. 544 CO; Pestalozzi/Hettich, n. 10 ad art. 544 CO). La procédure de poursuite est réglée par l’ordonnance du Tribunal fédéral concernant la saisie et la réalisation de parts de communauté du 17 janvier 1923 (OPC ; Chaix, loc. cit. ; Pestalozzi/Hettich, n. 11 sv. ad art. 544 CO). c) Aux termes de l'article 1 al. 1 OPC, la saisie des droits du débiteur dans une succession non partagée, dans une indivision, dans une société en nom collectif, dans une société en commandite ou dans une communauté analogue, ne peut porter que sur le produit lui revenant dans la liquidation de la communauté, lors même que celle-ci ne s'étend qu'à une chose unique. La mesure d'exécution forcée ne peut donc pas avoir pour objet des actifs de la société. Outre qu'il est clairement consacré, a contrario, par le texte de l'ordonnance fédérale reproduit ci-avant, ce principe est unanimement admis par la jurisprudence et la doctrine (arrêt 7B.180/2001 du 21 août 2001 consid. 2a et les réf.). Une mesure d'exécution qui viserait un actif particulier de la société devrait être considérée comme nulle (arrêt 7B.180/2001 précité consid. 2b et la réf. à l'ATF 91 III 19). La saisie d’une part dans une société vise tous actifs qui ne sont pas propriété exclusive du débiteur mais échoient à une société de personnes au sein de laquelle il est associé (Jeandin/Sabeti, Commentaire romand, 2005, n. 7 ad art. 104 LP). Lorsque l’autorité cantonale de surveillance ordonne la réalisation de la part de communauté saisie aux enchères publiques, l’adjudicataire de la part ne prend pas la place du poursuivi dans la communauté, car ce qui est réalisé n’est que la part de liquidation revenant au poursuivi, son droit de faire fixer cette part et se la faire payer, c’est-à-dire le droit de provoquer la dissolution de la communauté et la liquidation du patrimoine commun, tout au moins jusqu’à détermination du produit final revenant au poursuivi (Gilliéron, n. 27 ad art. 132 LP ; Bettschart, Commentaire romand, n. 14 ad art. 132 LP). d) En l’occurrence, trois créances ont été saisies dans les poursuites nos xxx et xxx de l’office de B_________, selon le procès-verbal établi par le préposé le 2 octobre 2001.</w:t>
      </w:r>
    </w:p>
    <w:p>
      <w:r>
        <w:t>- 11 - Il s’agit premièrement de deux créances résultant de la convention de H_________ signée par X_________ et E_________, et dont le premier est seul titulaire. La saisie porte en outre sur le "solde de la créance résultant éventuellement" des jugements rendus en 1998 et 1999 par les autorités judiciaires genevoises, lesquels ont été rendus en faveur de X_________ et de feu G_________, qui agissaient conjointement, comme membres d’une société simple. Il apparaît que la convention de H_________ et les jugements genevois portent au départ sur une même et unique dette de E_________ : la convention devait en effet, selon la volonté des cocontractants, régler l’exécution desdites décisions. Si, selon la convention, X_________ devenait seul titulaire de droits à l’encontre de E_________, c’est parce que G_________ devait renoncer aux siens. Cette renonciation constituait d’ailleurs une condition d’entrée en vigueur de la convention. Or, G_________ a refusé son accord, si bien que, comme le Tribunal fédéral a eu l’occasion de le relever dans l’arrêt qu’il a rendu le 10 décembre 2007 dans les causes 4A_290/2007 et 4A_292/2007 ayant opposé les hoirs de feu G_________ à X_________ (consid. 7.2.2), la validité de la convention est sujette à caution. Cela étant, les (prétendues) créances de X_________ reposant sur la convention de H_________ sont détenues par lui seul. C'est dès lors à juste titre que ces créances ont été saisies comme telles ; leur saisie et leur réalisation ne sont pas soumises à l'OPC. Il en va différemment des droits reconnus par les autorités judiciaires genevoises dans les jugements rendus en 1998 et 1999. Ces droits étaient détenus conjointement par G_________ et X_________, en leur qualité de membres d’une société simple. Le liquidateur de cette dernière agit d’ailleurs à l'encontre de E_________ pour recouvrer les montants reconnus dans ces jugements. Une poursuite introduite contre l’intéressé a récemment abouti à un acte de défaut de biens, mais d’autres démarches (action en annulation d’une répudiation) sont actuellement en cours devant les autorités judiciaires genevoises. L’existence de la société simple en question ne saurait sérieusement être remise en cause. Elle a été reconnue par le Tribunal fédéral dans l’arrêt du 10 décembre 2007 précité. Bien plus, dans le cadre de la procédure en désignation d’un liquidateur de dite société simple, son existence a été admise par tous les intéressés, y compris par</w:t>
      </w:r>
    </w:p>
    <w:p>
      <w:r>
        <w:t>- 12 - X_________. Celui-ci, du reste, s’en prévaut pour réclamer l’application de l’OPC dans le cadre de la présente procédure. C’est dire que la créance reconnue par les autorités genevoises en 1998 et 1999, respectivement "le solde résultant éventuellement" de ces jugements, constitue un actif de la société simple formée par X_________ et feu G_________. C’est bien cette créance qu’a saisie l’office des poursuites, à teneur du procès-verbal établi le 2 octobre 2001. Or, comme on l’a vu, les créanciers d’un associé n’ont aucun droit sur les actifs de la société simple, mais seulement sur sa part de liquidation. Aussi, le "solde éventuel de la créance résultant du jugement du Tribunal du 23 avril 1998 et des arrêts de la Cour de Justice genevois du 12 mars 1999 et du Tribunal Fédéral du 22 septembre 1999" n’était pas susceptible, comme tel, de saisie. Conformément à la jurisprudence du Tribunal fédéral rappelée supra, la saisie opérée est nulle, ce que les autorités de surveillance constatent indépendamment de toute plainte, et en tout temps (cf. ATF 129 I 361 consid. 2). On précisera ici que, quoi que soutienne l’exécuteur testamentaire de la succession Y_________, un associé n’est pas autorisé à faire valoir individuellement les droits de la société simple ; par ailleurs, en cas de réalisation d’une part de communauté, l’acheteur ne prend pas la place du poursuivi dans la communauté (cf. supra).</w:t>
      </w:r>
    </w:p>
    <w:p>
      <w:r>
        <w:rPr>
          <w:b/>
        </w:rPr>
        <w:t>E. 6</w:t>
      </w:r>
    </w:p>
    <w:p>
      <w:r>
        <w:t>a) A teneur de l’article 100 LP, l’office pourvoit à la conservation des droits saisis et à l’encaissement des créances échues. Cet encaissement devra intervenir d’office, sans que les créanciers soient tenus d’en faire la demande (de Gottreau, n. 7 ad art. 100 LP ; Lebrecht, Commentaire bâlois, 2010, n. 9 ad art. 100 LP). L’encaissement par l’office des créances saisies libère le débiteur du poursuivi. Quant à la créance, elle est réalisée du fait que l’office en a accepté le paiement, voire l’exécution en nature ; elle n’a donc plus besoin d’être vendue aux enchères ou de gré à gré (de Gottrau, Commentaire romand, n. 8 ad art. 100 LP). La voie de la plainte à l’autorité de surveillance est ouverte contre les mesures de l’office prises en violation de l’article 100 LP. Ont qualité pour porter plainte le créancier et le débiteur poursuivi (de Gottreau, n. 11 ad art. 100 LP). b) Par sa lettre du 6 septembre 2013, l’office des poursuites de B_________ a entrepris d’encaisser les créances saisies, comme l’y enjoint l’article 100 LP. Dans la mesure où cette démarche n’a pas d’effet contraignant sur le débiteur du poursuivi, et</w:t>
      </w:r>
    </w:p>
    <w:p>
      <w:r>
        <w:t>- 13 - qu’elle ne fait que confirmer l’avis de saisie adressé à celui-ci et l’invitation à régler son dû, la question se pose de savoir si elle constitue une mesure susceptible de plainte - étant rappelé que, par mesure au sens l’article 17 LP, on entend toute décision ou mesure prise unilatéralement ou d’office, de nature à créer, modifier ou supprimer une situation du droit de l’exécution forcée dans une procédure d’exécution forcée en cours, voire close, mais concrète (Erard, Commentaire romand, n. 10 ad art. 17 LP) -, et, le cas échéant, quels griefs peuvent (encore) y être articulés. Il n’est toutefois pas besoin d’y répondre. On a vu que la saisie opérée sur le "solde éventuel de la créance résultant du jugement du Tribunal du 23 avril 1998 et des arrêts de la Cour de Justice genevois du 12 mars 1999 et du Tribunal Fédéral du 22 septembre 1999" est nulle. Le sort du courrier du 13 septembre 2013, en tant qu’il porte sur cette créance, est, dès lors, scellé. S’agissant des créances découlant de la convention de H_________, dont on rappelle que X_________ est seul titulaire, le courrier du 13 septembre 2013 ne renferme rien de contraire à la saisie opérée selon procès-verbal du 2 octobre 2001, saisie dont on ne distingue pas de motif de nullité. C’est dire que la démarche de l’office des poursuites qui, comme déjà spécifié, repose sur l’article 100 LP, est, à cet égard, tout à fait conforme à la loi. On relèvera encore que l’argumentation selon laquelle l’office des poursuites de B_________ ne serait pas compétent pour procéder à la réalisation des créances saisies, au motif que X_________ n’est pas domicilié sur le district de B_________, n’est pas fondée ; il suffit, à cet égard, de renvoyer à la motivation pertinente du jugement attaqué, dont le recourant ne tente d’ailleurs même pas de démontrer l’absence de bien-fondé.</w:t>
      </w:r>
    </w:p>
    <w:p>
      <w:r>
        <w:rPr>
          <w:b/>
        </w:rPr>
        <w:t>E. 7</w:t>
      </w:r>
    </w:p>
    <w:p>
      <w:r>
        <w:t>En définitive, il est constaté la nullité de la saisie opérée le 2 octobre 2001 sur le "solde éventuel de la créance résultant du jugement du Tribunal du 23 avril 1998 et des arrêts de la Cour de Justice D_________ du 12 mars 1999 et du Tribunal Fédéral du 22 septembre 1999". Le recours doit être rejeté pour le surplus.</w:t>
      </w:r>
    </w:p>
    <w:p>
      <w:r>
        <w:rPr>
          <w:b/>
        </w:rPr>
        <w:t>E. 8</w:t>
      </w:r>
    </w:p>
    <w:p>
      <w:r>
        <w:t>Conformément aux articles 61 al. 2 let. a et 62 al. 2 OELP, il n'y a pas lieu de percevoir d'émoluments ou frais, ni d'allouer de dépens. La plainte n’étant pas abusive, la condamnation aux frais de X_________ en première instance n’était pas fondée, si bien qu’elle n’est pas confirmée.</w:t>
      </w:r>
    </w:p>
    <w:p>
      <w:r>
        <w:t>- 14 -</w:t>
      </w:r>
    </w:p>
    <w:p>
      <w:r>
        <w:t>Prononce</w:t>
      </w:r>
    </w:p>
    <w:p>
      <w:r>
        <w:t>1. Il est constaté la nullité de la saisie opérée le 2 octobre 2001 sur le "solde éventuel de la créance résultant du jugement du Tribunal du 23 avril 1998 et des arrêts de la Cour de Justice D_________ du 12 mars 1999 et du Tribunal Fédéral du 22 septembre 1999". 2. Le recours est rejeté pour le surplus. 3. Il n'est pas perçu de frais pour la procédure de plainte et de recours. Il n'est pas alloué de dépens.</w:t>
      </w:r>
    </w:p>
    <w:p>
      <w:r>
        <w:t>Sion, le 28 avril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